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15E8" w14:textId="29959B91" w:rsidR="004A7D1A" w:rsidRDefault="00294443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>
        <w:rPr>
          <w:rFonts w:ascii="Arial" w:hAnsi="Arial" w:cs="Arial"/>
          <w:b/>
          <w:sz w:val="24"/>
          <w:lang w:val="en-US"/>
        </w:rPr>
        <w:t>`</w:t>
      </w:r>
      <w:r w:rsidR="004A7D1A"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90</w:t>
      </w:r>
      <w:r w:rsidR="004A7D1A" w:rsidRPr="00AA435B">
        <w:rPr>
          <w:rFonts w:ascii="Arial" w:hAnsi="Arial" w:cs="Arial"/>
          <w:b/>
          <w:sz w:val="24"/>
          <w:lang w:val="en-US"/>
        </w:rPr>
        <w:t>-e</w:t>
      </w:r>
      <w:r w:rsidR="004A7D1A">
        <w:rPr>
          <w:rFonts w:ascii="Arial" w:hAnsi="Arial" w:cs="Arial"/>
          <w:b/>
          <w:sz w:val="24"/>
          <w:lang w:val="en-US"/>
        </w:rPr>
        <w:tab/>
      </w:r>
      <w:r w:rsidRPr="00294443">
        <w:rPr>
          <w:rFonts w:ascii="Arial" w:hAnsi="Arial" w:cs="Arial"/>
          <w:b/>
          <w:sz w:val="24"/>
          <w:lang w:val="en-US"/>
        </w:rPr>
        <w:t>R5-211193</w:t>
      </w:r>
      <w:r w:rsidR="004A7D1A">
        <w:rPr>
          <w:rFonts w:ascii="Arial" w:hAnsi="Arial" w:cs="Arial"/>
          <w:b/>
          <w:sz w:val="24"/>
          <w:lang w:val="en-US"/>
        </w:rPr>
        <w:br/>
      </w:r>
      <w:bookmarkEnd w:id="0"/>
      <w:r w:rsidR="004A7D1A"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FA3AE0">
        <w:rPr>
          <w:rFonts w:ascii="Arial" w:hAnsi="Arial" w:cs="Arial"/>
          <w:b/>
          <w:sz w:val="24"/>
        </w:rPr>
        <w:t>22 February – 5 March 2021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03ECA9D6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94443" w:rsidRPr="00294443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F97588F" w14:textId="43630C90" w:rsidR="000133D0" w:rsidRPr="0008103A" w:rsidRDefault="00816C9D" w:rsidP="000133D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0133D0">
        <w:rPr>
          <w:rFonts w:ascii="Arial" w:hAnsi="Arial" w:cs="Arial"/>
          <w:sz w:val="24"/>
          <w:szCs w:val="24"/>
        </w:rPr>
        <w:t>On the MU Element “</w:t>
      </w:r>
      <w:r w:rsidR="000133D0" w:rsidRPr="00A90D09">
        <w:rPr>
          <w:rFonts w:ascii="Arial" w:hAnsi="Arial" w:cs="Arial"/>
          <w:sz w:val="24"/>
          <w:szCs w:val="24"/>
        </w:rPr>
        <w:t>Uncertainty of an absolute gain of the calibration antenna</w:t>
      </w:r>
      <w:r w:rsidR="000133D0" w:rsidRPr="000133D0">
        <w:rPr>
          <w:rFonts w:ascii="Arial" w:hAnsi="Arial" w:cs="Arial"/>
          <w:sz w:val="24"/>
          <w:szCs w:val="24"/>
        </w:rPr>
        <w:t xml:space="preserve">” </w:t>
      </w:r>
      <w:bookmarkEnd w:id="4"/>
      <w:r w:rsidR="000133D0" w:rsidRPr="000133D0">
        <w:rPr>
          <w:rFonts w:ascii="Arial" w:hAnsi="Arial" w:cs="Arial"/>
          <w:sz w:val="24"/>
          <w:szCs w:val="24"/>
        </w:rPr>
        <w:t>for n259</w:t>
      </w:r>
    </w:p>
    <w:p w14:paraId="3595238B" w14:textId="2C2D3334" w:rsidR="00816C9D" w:rsidRPr="00354167" w:rsidRDefault="00816C9D" w:rsidP="000133D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25DD6FC5" w14:textId="6C1BED66" w:rsidR="00C8274A" w:rsidRPr="00241706" w:rsidRDefault="00C8274A" w:rsidP="00C8274A">
      <w:pPr>
        <w:ind w:left="48"/>
        <w:rPr>
          <w:rFonts w:eastAsia="Batang"/>
        </w:rPr>
      </w:pPr>
      <w:r>
        <w:rPr>
          <w:rFonts w:eastAsia="Batang"/>
        </w:rPr>
        <w:t xml:space="preserve">This contribution is addressing </w:t>
      </w:r>
      <w:r w:rsidR="00BC0D65">
        <w:rPr>
          <w:rFonts w:eastAsia="Batang"/>
        </w:rPr>
        <w:t>the MU element “</w:t>
      </w:r>
      <w:r w:rsidR="00BC0D65" w:rsidRPr="00BC0D65">
        <w:rPr>
          <w:rFonts w:eastAsia="Batang"/>
        </w:rPr>
        <w:t>Uncertainty of an absolute gain of the calibration antenna”</w:t>
      </w:r>
      <w:r>
        <w:rPr>
          <w:rFonts w:eastAsia="Batang"/>
        </w:rPr>
        <w:t xml:space="preserve"> </w:t>
      </w:r>
      <w:r w:rsidR="00741EFD">
        <w:rPr>
          <w:rFonts w:eastAsia="Batang"/>
        </w:rPr>
        <w:t xml:space="preserve">for the </w:t>
      </w:r>
      <w:r>
        <w:rPr>
          <w:rFonts w:eastAsia="Batang"/>
        </w:rPr>
        <w:t>n2</w:t>
      </w:r>
      <w:r w:rsidR="00741EFD">
        <w:rPr>
          <w:rFonts w:eastAsia="Batang"/>
        </w:rPr>
        <w:t>59</w:t>
      </w:r>
      <w:r>
        <w:rPr>
          <w:rFonts w:eastAsia="Batang"/>
        </w:rPr>
        <w:t xml:space="preserve"> band. </w:t>
      </w:r>
    </w:p>
    <w:p w14:paraId="3B15A645" w14:textId="77777777" w:rsidR="00C8274A" w:rsidRDefault="00C8274A" w:rsidP="00C8274A">
      <w:pPr>
        <w:pStyle w:val="Heading1"/>
        <w:ind w:left="567" w:hanging="567"/>
      </w:pPr>
      <w:r>
        <w:t>Discussion</w:t>
      </w:r>
    </w:p>
    <w:p w14:paraId="22A0E475" w14:textId="2B3B1F83" w:rsidR="00741EFD" w:rsidRDefault="00C8274A" w:rsidP="00C8274A">
      <w:r>
        <w:t xml:space="preserve">In the RAN4#97-e WF on n262 </w:t>
      </w:r>
      <w:r w:rsidR="00B15FF7">
        <w:fldChar w:fldCharType="begin"/>
      </w:r>
      <w:r w:rsidR="00B15FF7">
        <w:instrText xml:space="preserve"> REF _Ref62803482 \w \h </w:instrText>
      </w:r>
      <w:r w:rsidR="00B15FF7">
        <w:fldChar w:fldCharType="separate"/>
      </w:r>
      <w:r w:rsidR="00FD6352">
        <w:t>[1]</w:t>
      </w:r>
      <w:r w:rsidR="00B15FF7">
        <w:fldChar w:fldCharType="end"/>
      </w:r>
      <w:r>
        <w:t xml:space="preserve">, it was </w:t>
      </w:r>
      <w:r w:rsidR="00741EFD">
        <w:t>noted to complete the work on Band n259 (40-43.5GHz)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1EFD" w14:paraId="0208CB75" w14:textId="77777777" w:rsidTr="00741EFD">
        <w:tc>
          <w:tcPr>
            <w:tcW w:w="9631" w:type="dxa"/>
          </w:tcPr>
          <w:p w14:paraId="0308C20B" w14:textId="49196C19" w:rsidR="00741EFD" w:rsidRPr="00741EFD" w:rsidRDefault="00741EFD" w:rsidP="00741EFD">
            <w:pPr>
              <w:ind w:left="1416" w:hangingChars="708" w:hanging="1416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Observation 1</w:t>
            </w:r>
            <w:r>
              <w:rPr>
                <w:b/>
                <w:lang w:eastAsia="ja-JP"/>
              </w:rPr>
              <w:tab/>
              <w:t>: In order to introduce 5G (</w:t>
            </w:r>
            <w:r>
              <w:rPr>
                <w:rFonts w:hint="eastAsia"/>
                <w:b/>
                <w:lang w:eastAsia="ja-JP"/>
              </w:rPr>
              <w:t xml:space="preserve">Band </w:t>
            </w:r>
            <w:r>
              <w:rPr>
                <w:b/>
                <w:lang w:eastAsia="ja-JP"/>
              </w:rPr>
              <w:t xml:space="preserve">n259; 40GHz band) service in Japan, it is required to complete RAN5 work by </w:t>
            </w:r>
            <w:r>
              <w:rPr>
                <w:rFonts w:hint="eastAsia"/>
                <w:b/>
                <w:lang w:eastAsia="ja-JP"/>
              </w:rPr>
              <w:t>Feb</w:t>
            </w:r>
            <w:r>
              <w:rPr>
                <w:b/>
                <w:lang w:eastAsia="ja-JP"/>
              </w:rPr>
              <w:t>-2021 at the latest.</w:t>
            </w:r>
          </w:p>
        </w:tc>
      </w:tr>
    </w:tbl>
    <w:p w14:paraId="79E78578" w14:textId="0082F340" w:rsidR="001A4451" w:rsidRDefault="001A4451" w:rsidP="00C8274A">
      <w:r>
        <w:t xml:space="preserve">The MU evaluation requires a maximum test frequency of 44.3GHz </w:t>
      </w:r>
      <w:r>
        <w:fldChar w:fldCharType="begin"/>
      </w:r>
      <w:r>
        <w:instrText xml:space="preserve"> REF _Ref62801615 \w \h </w:instrText>
      </w:r>
      <w:r>
        <w:fldChar w:fldCharType="separate"/>
      </w:r>
      <w:r w:rsidR="00FD6352">
        <w:t>[2]</w:t>
      </w:r>
      <w:r>
        <w:fldChar w:fldCharType="end"/>
      </w:r>
      <w:r>
        <w:t xml:space="preserve"> for FR2c. </w:t>
      </w:r>
    </w:p>
    <w:p w14:paraId="33AB31CA" w14:textId="116A2F22" w:rsidR="0055145D" w:rsidRDefault="001A4451" w:rsidP="00C8274A">
      <w:pPr>
        <w:rPr>
          <w:rFonts w:eastAsia="Batang"/>
        </w:rPr>
      </w:pPr>
      <w:r>
        <w:t xml:space="preserve">In this contribution, we </w:t>
      </w:r>
      <w:r w:rsidR="00BC0D65">
        <w:t xml:space="preserve">revisit </w:t>
      </w:r>
      <w:r w:rsidR="0055145D">
        <w:t xml:space="preserve">an earlier contribution </w:t>
      </w:r>
      <w:r w:rsidR="00313159">
        <w:fldChar w:fldCharType="begin"/>
      </w:r>
      <w:r w:rsidR="00313159">
        <w:instrText xml:space="preserve"> REF _Ref63060209 \r \h </w:instrText>
      </w:r>
      <w:r w:rsidR="00313159">
        <w:fldChar w:fldCharType="separate"/>
      </w:r>
      <w:r w:rsidR="00313159">
        <w:t>[3]</w:t>
      </w:r>
      <w:r w:rsidR="00313159">
        <w:fldChar w:fldCharType="end"/>
      </w:r>
      <w:r w:rsidR="00313159">
        <w:t xml:space="preserve"> </w:t>
      </w:r>
      <w:r w:rsidR="0055145D">
        <w:t xml:space="preserve">that defined the </w:t>
      </w:r>
      <w:r w:rsidR="0055145D">
        <w:rPr>
          <w:rFonts w:eastAsia="Batang"/>
        </w:rPr>
        <w:t>MU element “</w:t>
      </w:r>
      <w:r w:rsidR="0055145D" w:rsidRPr="00BC0D65">
        <w:rPr>
          <w:rFonts w:eastAsia="Batang"/>
        </w:rPr>
        <w:t>Uncertainty of an absolute gain of the calibration antenna”</w:t>
      </w:r>
      <w:r w:rsidR="0055145D">
        <w:rPr>
          <w:rFonts w:eastAsia="Batang"/>
        </w:rPr>
        <w:t xml:space="preserve"> for FR2a and FR2b, i.e., from 23.45GHz through 40.8GHz with uncertainty value of 0.60dB (normal distribution). </w:t>
      </w:r>
    </w:p>
    <w:p w14:paraId="5388572D" w14:textId="68ED3C55" w:rsidR="00193BAE" w:rsidRDefault="00193BAE" w:rsidP="00C8274A">
      <w:pPr>
        <w:rPr>
          <w:rFonts w:eastAsia="Batang"/>
        </w:rPr>
      </w:pPr>
      <w:r>
        <w:rPr>
          <w:rFonts w:eastAsia="Batang"/>
        </w:rPr>
        <w:t>Given the calibration certificate that was leveraged to define the 0.6dB sample value indicates that the same uncertainty is applicable up to 50GHz</w:t>
      </w:r>
    </w:p>
    <w:p w14:paraId="2FE83D4D" w14:textId="1E8AF291" w:rsidR="00193BAE" w:rsidRDefault="00193BAE" w:rsidP="00C8274A">
      <w:r w:rsidRPr="005978A7">
        <w:rPr>
          <w:noProof/>
        </w:rPr>
        <w:drawing>
          <wp:inline distT="0" distB="0" distL="0" distR="0" wp14:anchorId="716D4655" wp14:editId="6B46DDD2">
            <wp:extent cx="5393055" cy="706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05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F5BAF" w14:textId="57CE51B5" w:rsidR="0055145D" w:rsidRDefault="00193BAE" w:rsidP="00C8274A">
      <w:r>
        <w:t xml:space="preserve">it is proposed to assign the same example value for n259 band with max test frequency of 44.3GHz. </w:t>
      </w:r>
    </w:p>
    <w:p w14:paraId="2121689E" w14:textId="44C4F965" w:rsidR="00193BAE" w:rsidRDefault="00193BAE" w:rsidP="00193BAE">
      <w:pPr>
        <w:pStyle w:val="Caption"/>
      </w:pPr>
      <w:bookmarkStart w:id="5" w:name="_Ref6306011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For n259, </w:t>
      </w:r>
      <w:r w:rsidR="00116D88">
        <w:t>use</w:t>
      </w:r>
      <w:r>
        <w:t xml:space="preserve"> the same 0.6dB uncertainty for </w:t>
      </w:r>
      <w:r w:rsidRPr="00193BAE">
        <w:t>MU Element “Uncertainty of an absolute gain of the calibration antenna”</w:t>
      </w:r>
      <w:bookmarkEnd w:id="5"/>
    </w:p>
    <w:p w14:paraId="5FCA6567" w14:textId="77777777" w:rsidR="00C8274A" w:rsidRDefault="00C8274A" w:rsidP="00C8274A">
      <w:pPr>
        <w:pStyle w:val="Heading1"/>
        <w:ind w:left="567" w:hanging="567"/>
      </w:pPr>
      <w:r>
        <w:t>Conclusion</w:t>
      </w:r>
    </w:p>
    <w:p w14:paraId="72A0FD2D" w14:textId="633E3497" w:rsidR="00C8274A" w:rsidRDefault="00C8274A" w:rsidP="00C8274A">
      <w:r w:rsidRPr="00ED209A">
        <w:t>The following observations and proposals were made in this contribution</w:t>
      </w:r>
    </w:p>
    <w:p w14:paraId="647470AD" w14:textId="542722E0" w:rsidR="00193BAE" w:rsidRPr="00193BAE" w:rsidRDefault="00193BAE" w:rsidP="00C8274A">
      <w:pPr>
        <w:rPr>
          <w:b/>
          <w:bCs/>
        </w:rPr>
      </w:pPr>
      <w:r w:rsidRPr="00193BAE">
        <w:rPr>
          <w:b/>
          <w:bCs/>
        </w:rPr>
        <w:fldChar w:fldCharType="begin"/>
      </w:r>
      <w:r w:rsidRPr="00193BAE">
        <w:rPr>
          <w:b/>
          <w:bCs/>
        </w:rPr>
        <w:instrText xml:space="preserve"> REF _Ref63060117 \h </w:instrText>
      </w:r>
      <w:r>
        <w:rPr>
          <w:b/>
          <w:bCs/>
        </w:rPr>
        <w:instrText xml:space="preserve"> \* MERGEFORMAT </w:instrText>
      </w:r>
      <w:r w:rsidRPr="00193BAE">
        <w:rPr>
          <w:b/>
          <w:bCs/>
        </w:rPr>
      </w:r>
      <w:r w:rsidRPr="00193BAE">
        <w:rPr>
          <w:b/>
          <w:bCs/>
        </w:rPr>
        <w:fldChar w:fldCharType="separate"/>
      </w:r>
      <w:r w:rsidR="001E7425" w:rsidRPr="001E7425">
        <w:rPr>
          <w:b/>
          <w:bCs/>
        </w:rPr>
        <w:t xml:space="preserve">Proposal </w:t>
      </w:r>
      <w:r w:rsidR="001E7425" w:rsidRPr="001E7425">
        <w:rPr>
          <w:b/>
          <w:bCs/>
          <w:noProof/>
        </w:rPr>
        <w:t>1</w:t>
      </w:r>
      <w:r w:rsidR="001E7425" w:rsidRPr="001E7425">
        <w:rPr>
          <w:b/>
          <w:bCs/>
        </w:rPr>
        <w:t>: For n259, use the same 0.6dB uncertainty for MU Element “Uncertainty of an absolute gain of the calibration antenna”</w:t>
      </w:r>
      <w:r w:rsidRPr="00193BAE">
        <w:rPr>
          <w:b/>
          <w:bCs/>
        </w:rPr>
        <w:fldChar w:fldCharType="end"/>
      </w:r>
    </w:p>
    <w:p w14:paraId="012FEE9B" w14:textId="77777777" w:rsidR="00193BAE" w:rsidRDefault="00193BAE" w:rsidP="00C8274A"/>
    <w:p w14:paraId="19E89DAA" w14:textId="77777777" w:rsidR="00C8274A" w:rsidRDefault="00C8274A" w:rsidP="00C8274A">
      <w:pPr>
        <w:pStyle w:val="Heading1"/>
        <w:ind w:left="567" w:hanging="567"/>
      </w:pPr>
      <w:r>
        <w:lastRenderedPageBreak/>
        <w:t>References</w:t>
      </w:r>
    </w:p>
    <w:p w14:paraId="0BF53616" w14:textId="6F53C7AE" w:rsidR="00C8274A" w:rsidRDefault="00741EFD" w:rsidP="00C8274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62803482"/>
      <w:bookmarkStart w:id="7" w:name="_Ref30707192"/>
      <w:r w:rsidRPr="00741EFD">
        <w:t>R5-204851</w:t>
      </w:r>
      <w:r>
        <w:t xml:space="preserve">, </w:t>
      </w:r>
      <w:r w:rsidRPr="00741EFD">
        <w:t>Update of WF on Band n259</w:t>
      </w:r>
      <w:r>
        <w:t xml:space="preserve">, </w:t>
      </w:r>
      <w:r w:rsidRPr="00741EFD">
        <w:t>NTT DOCOMO</w:t>
      </w:r>
      <w:r>
        <w:t xml:space="preserve">, </w:t>
      </w:r>
      <w:r w:rsidRPr="00741EFD">
        <w:t>3GPP TSG-RAN5 Meeting #88-e</w:t>
      </w:r>
      <w:r>
        <w:t>, August 2020</w:t>
      </w:r>
      <w:bookmarkEnd w:id="6"/>
    </w:p>
    <w:p w14:paraId="7C204708" w14:textId="32815ECA" w:rsidR="001A4451" w:rsidRDefault="001A4451" w:rsidP="00C8274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62801615"/>
      <w:r w:rsidRPr="001A4451">
        <w:t>R5-197733</w:t>
      </w:r>
      <w:r>
        <w:t xml:space="preserve">, </w:t>
      </w:r>
      <w:r w:rsidRPr="001A4451">
        <w:t>Frequency range of Band n259</w:t>
      </w:r>
      <w:r>
        <w:t xml:space="preserve">, </w:t>
      </w:r>
      <w:r w:rsidRPr="001A4451">
        <w:t>NTT DOCOMO</w:t>
      </w:r>
      <w:r>
        <w:t xml:space="preserve">, </w:t>
      </w:r>
      <w:r w:rsidRPr="001A4451">
        <w:t>3GPP TSG-RAN5 Meeting #85</w:t>
      </w:r>
      <w:r>
        <w:t>, November 2019</w:t>
      </w:r>
      <w:bookmarkEnd w:id="8"/>
    </w:p>
    <w:p w14:paraId="11A48869" w14:textId="7EF5B21B" w:rsidR="00BC0D65" w:rsidRDefault="00BC0D65" w:rsidP="00B15FF7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bookmarkStart w:id="9" w:name="_Ref63060209"/>
      <w:bookmarkStart w:id="10" w:name="_Ref62803635"/>
      <w:r w:rsidRPr="00BC0D65">
        <w:rPr>
          <w:rFonts w:eastAsia="Malgun Gothic"/>
          <w:szCs w:val="20"/>
          <w:lang w:val="en-GB"/>
        </w:rPr>
        <w:t>R5-185954</w:t>
      </w:r>
      <w:r>
        <w:rPr>
          <w:rFonts w:eastAsia="Malgun Gothic"/>
          <w:szCs w:val="20"/>
          <w:lang w:val="en-GB"/>
        </w:rPr>
        <w:t xml:space="preserve">, </w:t>
      </w:r>
      <w:r w:rsidRPr="00BC0D65">
        <w:rPr>
          <w:rFonts w:eastAsia="Malgun Gothic"/>
          <w:szCs w:val="20"/>
          <w:lang w:val="en-GB"/>
        </w:rPr>
        <w:t>On the MU Element “Uncertainty of an absolute gain of the calibration antenna</w:t>
      </w:r>
      <w:r>
        <w:rPr>
          <w:rFonts w:eastAsia="Malgun Gothic"/>
          <w:szCs w:val="20"/>
          <w:lang w:val="en-GB"/>
        </w:rPr>
        <w:t>,</w:t>
      </w:r>
      <w:r w:rsidRPr="00BC0D65">
        <w:rPr>
          <w:rFonts w:eastAsia="Malgun Gothic"/>
          <w:szCs w:val="20"/>
          <w:lang w:val="en-GB"/>
        </w:rPr>
        <w:t>”</w:t>
      </w:r>
      <w:r>
        <w:rPr>
          <w:rFonts w:eastAsia="Malgun Gothic"/>
          <w:szCs w:val="20"/>
          <w:lang w:val="en-GB"/>
        </w:rPr>
        <w:t xml:space="preserve"> </w:t>
      </w:r>
      <w:r w:rsidRPr="00BC0D65">
        <w:rPr>
          <w:rFonts w:eastAsia="Malgun Gothic"/>
          <w:szCs w:val="20"/>
          <w:lang w:val="en-GB"/>
        </w:rPr>
        <w:t>3GPPRAN5#3-5G-NR Adhoc</w:t>
      </w:r>
      <w:r>
        <w:rPr>
          <w:rFonts w:eastAsia="Malgun Gothic"/>
          <w:szCs w:val="20"/>
          <w:lang w:val="en-GB"/>
        </w:rPr>
        <w:t>, October 2018</w:t>
      </w:r>
      <w:bookmarkEnd w:id="9"/>
    </w:p>
    <w:bookmarkEnd w:id="10"/>
    <w:bookmarkEnd w:id="7"/>
    <w:bookmarkEnd w:id="2"/>
    <w:sectPr w:rsidR="00BC0D6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38F3B" w14:textId="77777777" w:rsidR="0098176F" w:rsidRDefault="0098176F">
      <w:r>
        <w:separator/>
      </w:r>
    </w:p>
  </w:endnote>
  <w:endnote w:type="continuationSeparator" w:id="0">
    <w:p w14:paraId="2B745E73" w14:textId="77777777" w:rsidR="0098176F" w:rsidRDefault="0098176F">
      <w:r>
        <w:continuationSeparator/>
      </w:r>
    </w:p>
  </w:endnote>
  <w:endnote w:type="continuationNotice" w:id="1">
    <w:p w14:paraId="10E66845" w14:textId="77777777" w:rsidR="0098176F" w:rsidRDefault="009817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78D1A" w14:textId="77777777" w:rsidR="0098176F" w:rsidRDefault="0098176F">
      <w:r>
        <w:separator/>
      </w:r>
    </w:p>
  </w:footnote>
  <w:footnote w:type="continuationSeparator" w:id="0">
    <w:p w14:paraId="3D6D4D42" w14:textId="77777777" w:rsidR="0098176F" w:rsidRDefault="0098176F">
      <w:r>
        <w:continuationSeparator/>
      </w:r>
    </w:p>
  </w:footnote>
  <w:footnote w:type="continuationNotice" w:id="1">
    <w:p w14:paraId="3391714E" w14:textId="77777777" w:rsidR="0098176F" w:rsidRDefault="009817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CF2764"/>
    <w:multiLevelType w:val="hybridMultilevel"/>
    <w:tmpl w:val="B838F65A"/>
    <w:lvl w:ilvl="0" w:tplc="71CAD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4AF4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C27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AD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88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2E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A0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41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0A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4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2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8"/>
  </w:num>
  <w:num w:numId="30">
    <w:abstractNumId w:val="16"/>
  </w:num>
  <w:num w:numId="31">
    <w:abstractNumId w:val="37"/>
  </w:num>
  <w:num w:numId="32">
    <w:abstractNumId w:val="30"/>
  </w:num>
  <w:num w:numId="33">
    <w:abstractNumId w:val="36"/>
  </w:num>
  <w:num w:numId="34">
    <w:abstractNumId w:val="15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4"/>
  </w:num>
  <w:num w:numId="40">
    <w:abstractNumId w:val="31"/>
  </w:num>
  <w:num w:numId="41">
    <w:abstractNumId w:val="19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3D0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1826"/>
    <w:rsid w:val="00114DB9"/>
    <w:rsid w:val="00116D88"/>
    <w:rsid w:val="001174D8"/>
    <w:rsid w:val="00121323"/>
    <w:rsid w:val="00122845"/>
    <w:rsid w:val="00124141"/>
    <w:rsid w:val="001258E2"/>
    <w:rsid w:val="0013001E"/>
    <w:rsid w:val="00130789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3BAE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4451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E7425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4443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159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319E"/>
    <w:rsid w:val="0053435C"/>
    <w:rsid w:val="00541EB9"/>
    <w:rsid w:val="00543311"/>
    <w:rsid w:val="00546367"/>
    <w:rsid w:val="005464FE"/>
    <w:rsid w:val="005471FE"/>
    <w:rsid w:val="00547986"/>
    <w:rsid w:val="0055145D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1EFD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FFB"/>
    <w:rsid w:val="007C0BFC"/>
    <w:rsid w:val="007C6DD8"/>
    <w:rsid w:val="007D0054"/>
    <w:rsid w:val="007D258B"/>
    <w:rsid w:val="007D36D3"/>
    <w:rsid w:val="007D3BE3"/>
    <w:rsid w:val="007D50DB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176F"/>
    <w:rsid w:val="00982B7E"/>
    <w:rsid w:val="00983910"/>
    <w:rsid w:val="00984E5F"/>
    <w:rsid w:val="009913F6"/>
    <w:rsid w:val="00992B5F"/>
    <w:rsid w:val="00997D88"/>
    <w:rsid w:val="009A63AD"/>
    <w:rsid w:val="009C0727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15FF7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0D65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274A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4B3B"/>
    <w:rsid w:val="00CB5BF2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61F2"/>
    <w:rsid w:val="00D00D4F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6C7"/>
    <w:rsid w:val="00E55ABC"/>
    <w:rsid w:val="00E56168"/>
    <w:rsid w:val="00E57B74"/>
    <w:rsid w:val="00E57FEF"/>
    <w:rsid w:val="00E642B3"/>
    <w:rsid w:val="00E70C18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3B69"/>
    <w:rsid w:val="00F7184A"/>
    <w:rsid w:val="00F77EB0"/>
    <w:rsid w:val="00F81AC1"/>
    <w:rsid w:val="00F83415"/>
    <w:rsid w:val="00F86974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6352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table" w:styleId="PlainTable1">
    <w:name w:val="Plain Table 1"/>
    <w:basedOn w:val="TableNormal"/>
    <w:uiPriority w:val="41"/>
    <w:rsid w:val="00C8274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7D50D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878f5c59-aec9-459c-acf8-8cf941473193"/>
    <ds:schemaRef ds:uri="bdd78157-346c-4767-bfdd-352789a5c5f1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303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27</cp:revision>
  <dcterms:created xsi:type="dcterms:W3CDTF">2020-05-26T02:02:00Z</dcterms:created>
  <dcterms:modified xsi:type="dcterms:W3CDTF">2021-02-08T21:56:00Z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